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End w:id="0"/>
      <w:r>
        <w:rPr>
          <w:rFonts w:ascii="標楷體" w:eastAsia="標楷體" w:hAnsi="標楷體" w:cs="標楷體"/>
          <w:sz w:val="32"/>
          <w:szCs w:val="32"/>
        </w:rPr>
        <w:t>國小領域教學圈-社會領域素養導向與授課增能研習實施計畫</w:t>
      </w:r>
    </w:p>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(二)桃園市114</w:t>
      </w:r>
      <w:proofErr w:type="gramStart"/>
      <w:r>
        <w:rPr>
          <w:rFonts w:ascii="標楷體" w:eastAsia="標楷體" w:hAnsi="標楷體" w:cs="標楷體"/>
        </w:rPr>
        <w:t>學年度精進</w:t>
      </w:r>
      <w:proofErr w:type="gramEnd"/>
      <w:r>
        <w:rPr>
          <w:rFonts w:ascii="標楷體" w:eastAsia="標楷體" w:hAnsi="標楷體" w:cs="標楷體"/>
        </w:rPr>
        <w:t xml:space="preserve">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(三)桃園市114學年度國民教育地方輔導團整體團</w:t>
      </w:r>
      <w:proofErr w:type="gramStart"/>
      <w:r>
        <w:rPr>
          <w:rFonts w:ascii="標楷體" w:eastAsia="標楷體" w:hAnsi="標楷體" w:cs="標楷體"/>
        </w:rPr>
        <w:t>務</w:t>
      </w:r>
      <w:proofErr w:type="gramEnd"/>
      <w:r>
        <w:rPr>
          <w:rFonts w:ascii="標楷體" w:eastAsia="標楷體" w:hAnsi="標楷體" w:cs="標楷體"/>
        </w:rPr>
        <w:t xml:space="preserve">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w:t>
      </w:r>
      <w:proofErr w:type="gramStart"/>
      <w:r>
        <w:rPr>
          <w:rFonts w:ascii="標楷體" w:eastAsia="標楷體" w:hAnsi="標楷體" w:cs="標楷體"/>
        </w:rPr>
        <w:t>綱</w:t>
      </w:r>
      <w:proofErr w:type="gramEnd"/>
      <w:r>
        <w:rPr>
          <w:rFonts w:ascii="標楷體" w:eastAsia="標楷體" w:hAnsi="標楷體" w:cs="標楷體"/>
        </w:rPr>
        <w:t>著重素養導向課程與教學設計，教師須妥善</w:t>
      </w:r>
      <w:proofErr w:type="gramStart"/>
      <w:r>
        <w:rPr>
          <w:rFonts w:ascii="標楷體" w:eastAsia="標楷體" w:hAnsi="標楷體" w:cs="標楷體"/>
        </w:rPr>
        <w:t>運用領綱的</w:t>
      </w:r>
      <w:proofErr w:type="gramEnd"/>
      <w:r>
        <w:rPr>
          <w:rFonts w:ascii="標楷體" w:eastAsia="標楷體" w:hAnsi="標楷體" w:cs="標楷體"/>
        </w:rPr>
        <w:t>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1" w:name="_heading=h.syjue8sa35lx" w:colFirst="0" w:colLast="0"/>
      <w:bookmarkEnd w:id="1"/>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w:t>
      </w:r>
      <w:proofErr w:type="gramStart"/>
      <w:r>
        <w:rPr>
          <w:rFonts w:ascii="標楷體" w:eastAsia="標楷體" w:hAnsi="標楷體" w:cs="標楷體"/>
          <w:b/>
          <w:color w:val="000000"/>
        </w:rPr>
        <w:t>一</w:t>
      </w:r>
      <w:proofErr w:type="gramEnd"/>
      <w:r>
        <w:rPr>
          <w:rFonts w:ascii="標楷體" w:eastAsia="標楷體" w:hAnsi="標楷體" w:cs="標楷體"/>
          <w:b/>
          <w:color w:val="000000"/>
        </w:rPr>
        <w:t>)</w:t>
      </w:r>
      <w:r>
        <w:rPr>
          <w:rFonts w:ascii="標楷體" w:eastAsia="標楷體" w:hAnsi="標楷體" w:cs="標楷體"/>
          <w:color w:val="000000"/>
        </w:rPr>
        <w:t>全市各國小社會領域授課教師、 (二)社會領域</w:t>
      </w:r>
      <w:proofErr w:type="gramStart"/>
      <w:r>
        <w:rPr>
          <w:rFonts w:ascii="標楷體" w:eastAsia="標楷體" w:hAnsi="標楷體" w:cs="標楷體"/>
          <w:color w:val="000000"/>
        </w:rPr>
        <w:t>分團國</w:t>
      </w:r>
      <w:proofErr w:type="gramEnd"/>
      <w:r>
        <w:rPr>
          <w:rFonts w:ascii="標楷體" w:eastAsia="標楷體" w:hAnsi="標楷體" w:cs="標楷體"/>
          <w:color w:val="000000"/>
        </w:rPr>
        <w:t>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參考層面</w:t>
            </w:r>
            <w:proofErr w:type="spellEnd"/>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proofErr w:type="spellStart"/>
            <w:r>
              <w:rPr>
                <w:rFonts w:ascii="標楷體" w:eastAsia="標楷體" w:hAnsi="標楷體" w:cs="標楷體"/>
              </w:rPr>
              <w:t>目的</w:t>
            </w:r>
            <w:proofErr w:type="spellEnd"/>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proofErr w:type="spellStart"/>
            <w:r>
              <w:rPr>
                <w:rFonts w:ascii="標楷體" w:eastAsia="標楷體" w:hAnsi="標楷體" w:cs="標楷體"/>
              </w:rPr>
              <w:t>預期成效</w:t>
            </w:r>
            <w:proofErr w:type="spellEnd"/>
          </w:p>
        </w:tc>
        <w:tc>
          <w:tcPr>
            <w:tcW w:w="2369" w:type="dxa"/>
            <w:shd w:val="clear" w:color="auto" w:fill="FFFFFF"/>
          </w:tcPr>
          <w:p w14:paraId="2FDF8D48"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實施方式</w:t>
            </w:r>
            <w:proofErr w:type="spellEnd"/>
          </w:p>
        </w:tc>
        <w:tc>
          <w:tcPr>
            <w:tcW w:w="1560" w:type="dxa"/>
            <w:shd w:val="clear" w:color="auto" w:fill="FFFFFF"/>
          </w:tcPr>
          <w:p w14:paraId="2E3BCF82"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實施期程</w:t>
            </w:r>
            <w:proofErr w:type="spellEnd"/>
          </w:p>
        </w:tc>
        <w:tc>
          <w:tcPr>
            <w:tcW w:w="1530" w:type="dxa"/>
            <w:shd w:val="clear" w:color="auto" w:fill="FFFFFF"/>
          </w:tcPr>
          <w:p w14:paraId="47948B96" w14:textId="77777777" w:rsidR="002A4209" w:rsidRDefault="006844C6">
            <w:pPr>
              <w:jc w:val="center"/>
              <w:rPr>
                <w:rFonts w:ascii="標楷體" w:eastAsia="標楷體" w:hAnsi="標楷體" w:cs="標楷體"/>
              </w:rPr>
            </w:pPr>
            <w:proofErr w:type="spellStart"/>
            <w:r>
              <w:rPr>
                <w:rFonts w:ascii="標楷體" w:eastAsia="標楷體" w:hAnsi="標楷體" w:cs="標楷體"/>
              </w:rPr>
              <w:t>評估工具</w:t>
            </w:r>
            <w:proofErr w:type="spellEnd"/>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參與者反應</w:t>
            </w:r>
            <w:proofErr w:type="spellEnd"/>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參與者學習</w:t>
            </w:r>
            <w:proofErr w:type="spellEnd"/>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參與者使用新知</w:t>
            </w:r>
            <w:proofErr w:type="spellEnd"/>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w:t>
            </w:r>
            <w:proofErr w:type="spellStart"/>
            <w:r>
              <w:rPr>
                <w:rFonts w:ascii="標楷體" w:eastAsia="標楷體" w:hAnsi="標楷體" w:cs="標楷體"/>
              </w:rPr>
              <w:t>教案、評量</w:t>
            </w:r>
            <w:proofErr w:type="spellEnd"/>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AE281F">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AE281F">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2" w:name="_heading=h.s859dsjgob7q" w:colFirst="0" w:colLast="0"/>
            <w:bookmarkEnd w:id="2"/>
            <w:r>
              <w:rPr>
                <w:rFonts w:ascii="標楷體" w:eastAsia="標楷體" w:hAnsi="標楷體" w:cs="標楷體"/>
              </w:rPr>
              <w:t>114/11/05、114/11/26、115/3/18，共3</w:t>
            </w:r>
            <w:proofErr w:type="spellStart"/>
            <w:r>
              <w:rPr>
                <w:rFonts w:ascii="標楷體" w:eastAsia="標楷體" w:hAnsi="標楷體" w:cs="標楷體"/>
              </w:rPr>
              <w:t>場次</w:t>
            </w:r>
            <w:proofErr w:type="spellEnd"/>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AE281F">
            <w:pPr>
              <w:spacing w:after="0"/>
              <w:jc w:val="center"/>
              <w:rPr>
                <w:rFonts w:ascii="標楷體" w:eastAsia="標楷體" w:hAnsi="標楷體" w:cs="標楷體"/>
              </w:rPr>
            </w:pPr>
            <w:sdt>
              <w:sdtPr>
                <w:tag w:val="goog_rdk_2"/>
                <w:id w:val="-1608207249"/>
              </w:sdtPr>
              <w:sdtEndPr/>
              <w:sdtContent>
                <w:proofErr w:type="spellStart"/>
                <w:r w:rsidR="006844C6">
                  <w:rPr>
                    <w:rFonts w:ascii="Gungsuh" w:eastAsia="Gungsuh" w:hAnsi="Gungsuh" w:cs="Gungsuh"/>
                    <w:b/>
                  </w:rPr>
                  <w:t>活動內容</w:t>
                </w:r>
                <w:proofErr w:type="spellEnd"/>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AE281F">
            <w:pPr>
              <w:spacing w:after="0"/>
              <w:jc w:val="center"/>
              <w:rPr>
                <w:rFonts w:ascii="標楷體" w:eastAsia="標楷體" w:hAnsi="標楷體" w:cs="標楷體"/>
              </w:rPr>
            </w:pPr>
            <w:sdt>
              <w:sdtPr>
                <w:tag w:val="goog_rdk_3"/>
                <w:id w:val="-350072617"/>
              </w:sdtPr>
              <w:sdtEndPr/>
              <w:sdtContent>
                <w:proofErr w:type="spellStart"/>
                <w:r w:rsidR="006844C6">
                  <w:rPr>
                    <w:rFonts w:ascii="Gungsuh" w:eastAsia="Gungsuh" w:hAnsi="Gungsuh" w:cs="Gungsuh"/>
                    <w:b/>
                  </w:rPr>
                  <w:t>主持人／主講人</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AE281F">
            <w:pPr>
              <w:spacing w:after="0"/>
              <w:jc w:val="center"/>
              <w:rPr>
                <w:rFonts w:ascii="標楷體" w:eastAsia="標楷體" w:hAnsi="標楷體" w:cs="標楷體"/>
              </w:rPr>
            </w:pPr>
            <w:sdt>
              <w:sdtPr>
                <w:tag w:val="goog_rdk_4"/>
                <w:id w:val="196317036"/>
              </w:sdtPr>
              <w:sdtEndPr/>
              <w:sdtContent>
                <w:proofErr w:type="spellStart"/>
                <w:r w:rsidR="006844C6">
                  <w:rPr>
                    <w:rFonts w:ascii="Gungsuh" w:eastAsia="Gungsuh" w:hAnsi="Gungsuh" w:cs="Gungsuh"/>
                    <w:b/>
                  </w:rPr>
                  <w:t>備註</w:t>
                </w:r>
                <w:proofErr w:type="spellEnd"/>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AE281F">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proofErr w:type="spellStart"/>
            <w:r>
              <w:rPr>
                <w:rFonts w:ascii="標楷體" w:eastAsia="標楷體" w:hAnsi="標楷體" w:cs="標楷體"/>
                <w:b/>
                <w:color w:val="000000"/>
                <w:sz w:val="24"/>
              </w:rPr>
              <w:t>報到、始業式</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AE281F">
            <w:pPr>
              <w:spacing w:after="0"/>
              <w:jc w:val="center"/>
            </w:pPr>
            <w:sdt>
              <w:sdtPr>
                <w:tag w:val="goog_rdk_6"/>
                <w:id w:val="2114582518"/>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AE281F">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AE281F">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AE281F">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AE281F">
            <w:pPr>
              <w:jc w:val="center"/>
              <w:rPr>
                <w:lang w:eastAsia="zh-TW"/>
              </w:rPr>
            </w:pPr>
            <w:sdt>
              <w:sdtPr>
                <w:tag w:val="goog_rdk_10"/>
                <w:id w:val="1796980714"/>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00886746" w14:textId="77777777" w:rsidR="002A4209" w:rsidRDefault="00AE281F">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AE281F">
            <w:pPr>
              <w:jc w:val="center"/>
              <w:rPr>
                <w:lang w:eastAsia="zh-TW"/>
              </w:rPr>
            </w:pPr>
            <w:sdt>
              <w:sdtPr>
                <w:tag w:val="goog_rdk_12"/>
                <w:id w:val="-1049127320"/>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AE281F">
            <w:pPr>
              <w:spacing w:after="0"/>
            </w:pPr>
            <w:sdt>
              <w:sdtPr>
                <w:tag w:val="goog_rdk_13"/>
                <w:id w:val="1700905049"/>
              </w:sdtPr>
              <w:sdtEndPr/>
              <w:sdtContent>
                <w:r w:rsidR="006844C6">
                  <w:rPr>
                    <w:rFonts w:ascii="Gungsuh" w:eastAsia="Gungsuh" w:hAnsi="Gungsuh" w:cs="Gungsuh"/>
                  </w:rPr>
                  <w:t xml:space="preserve"> </w:t>
                </w:r>
                <w:proofErr w:type="spellStart"/>
                <w:r w:rsidR="006844C6">
                  <w:rPr>
                    <w:rFonts w:ascii="Gungsuh" w:eastAsia="Gungsuh" w:hAnsi="Gungsuh" w:cs="Gungsuh"/>
                  </w:rPr>
                  <w:t>內聘講師</w:t>
                </w:r>
                <w:proofErr w:type="spellEnd"/>
              </w:sdtContent>
            </w:sdt>
          </w:p>
          <w:p w14:paraId="652EB5D1" w14:textId="77777777" w:rsidR="002A4209" w:rsidRDefault="00AE281F">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AE281F">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AE281F">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AE281F">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AE281F">
            <w:pPr>
              <w:jc w:val="center"/>
              <w:rPr>
                <w:lang w:eastAsia="zh-TW"/>
              </w:rPr>
            </w:pPr>
            <w:sdt>
              <w:sdtPr>
                <w:tag w:val="goog_rdk_18"/>
                <w:id w:val="-1648697851"/>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5DFA79E2" w14:textId="77777777" w:rsidR="002A4209" w:rsidRDefault="00AE281F">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AE281F">
            <w:pPr>
              <w:jc w:val="center"/>
              <w:rPr>
                <w:lang w:eastAsia="zh-TW"/>
              </w:rPr>
            </w:pPr>
            <w:sdt>
              <w:sdtPr>
                <w:tag w:val="goog_rdk_20"/>
                <w:id w:val="-1879778546"/>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AE281F">
            <w:pPr>
              <w:spacing w:line="240" w:lineRule="auto"/>
              <w:ind w:left="134"/>
            </w:pPr>
            <w:sdt>
              <w:sdtPr>
                <w:tag w:val="goog_rdk_21"/>
                <w:id w:val="1064023619"/>
              </w:sdtPr>
              <w:sdtEndPr/>
              <w:sdtContent>
                <w:proofErr w:type="spellStart"/>
                <w:r w:rsidR="006844C6">
                  <w:rPr>
                    <w:rFonts w:ascii="Gungsuh" w:eastAsia="Gungsuh" w:hAnsi="Gungsuh" w:cs="Gungsuh"/>
                  </w:rPr>
                  <w:t>內聘講師</w:t>
                </w:r>
                <w:proofErr w:type="spellEnd"/>
              </w:sdtContent>
            </w:sdt>
          </w:p>
          <w:p w14:paraId="075BC583" w14:textId="77777777" w:rsidR="002A4209" w:rsidRDefault="00AE281F">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AE281F">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AE281F">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AE281F">
            <w:pPr>
              <w:jc w:val="center"/>
              <w:rPr>
                <w:b/>
              </w:rPr>
            </w:pPr>
            <w:sdt>
              <w:sdtPr>
                <w:tag w:val="goog_rdk_25"/>
                <w:id w:val="-923168811"/>
              </w:sdtPr>
              <w:sdtEndPr/>
              <w:sdtContent>
                <w:proofErr w:type="spellStart"/>
                <w:r w:rsidR="006844C6">
                  <w:rPr>
                    <w:rFonts w:ascii="Gungsuh" w:eastAsia="Gungsuh" w:hAnsi="Gungsuh" w:cs="Gungsuh"/>
                    <w:b/>
                  </w:rPr>
                  <w:t>綜合座談</w:t>
                </w:r>
                <w:proofErr w:type="spellEnd"/>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AE281F">
            <w:pPr>
              <w:spacing w:after="0" w:line="240" w:lineRule="auto"/>
              <w:ind w:left="240"/>
              <w:jc w:val="center"/>
            </w:pPr>
            <w:sdt>
              <w:sdtPr>
                <w:tag w:val="goog_rdk_26"/>
                <w:id w:val="-430539775"/>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 xml:space="preserve">桃園市 114 </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w:t>
            </w:r>
            <w:proofErr w:type="spellEnd"/>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面向</w:t>
            </w:r>
            <w:proofErr w:type="spellEnd"/>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非常滿意</w:t>
            </w:r>
            <w:proofErr w:type="spellEnd"/>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參與者反應</w:t>
            </w:r>
            <w:proofErr w:type="spellEnd"/>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參與者學習</w:t>
            </w:r>
            <w:proofErr w:type="spellEnd"/>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proofErr w:type="spellStart"/>
            <w:r>
              <w:rPr>
                <w:rFonts w:ascii="標楷體" w:eastAsia="標楷體" w:hAnsi="標楷體" w:cs="標楷體"/>
                <w:color w:val="000000"/>
              </w:rPr>
              <w:t>參與者使用新知</w:t>
            </w:r>
            <w:proofErr w:type="spellEnd"/>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AE281F">
            <w:pPr>
              <w:widowControl/>
              <w:jc w:val="center"/>
            </w:pPr>
            <w:sdt>
              <w:sdtPr>
                <w:tag w:val="goog_rdk_27"/>
                <w:id w:val="298778768"/>
              </w:sdtPr>
              <w:sdtEndPr/>
              <w:sdtContent>
                <w:proofErr w:type="spellStart"/>
                <w:r w:rsidR="006844C6">
                  <w:rPr>
                    <w:rFonts w:ascii="Gungsuh" w:eastAsia="Gungsuh" w:hAnsi="Gungsuh" w:cs="Gungsuh"/>
                  </w:rPr>
                  <w:t>項次</w:t>
                </w:r>
                <w:proofErr w:type="spellEnd"/>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AE281F">
            <w:pPr>
              <w:widowControl/>
              <w:jc w:val="center"/>
            </w:pPr>
            <w:sdt>
              <w:sdtPr>
                <w:tag w:val="goog_rdk_28"/>
                <w:id w:val="-1983792452"/>
              </w:sdtPr>
              <w:sdtEndPr/>
              <w:sdtContent>
                <w:proofErr w:type="spellStart"/>
                <w:r w:rsidR="006844C6">
                  <w:rPr>
                    <w:rFonts w:ascii="Gungsuh" w:eastAsia="Gungsuh" w:hAnsi="Gungsuh" w:cs="Gungsuh"/>
                  </w:rPr>
                  <w:t>項目</w:t>
                </w:r>
                <w:proofErr w:type="spellEnd"/>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AE281F">
            <w:pPr>
              <w:widowControl/>
              <w:jc w:val="center"/>
            </w:pPr>
            <w:sdt>
              <w:sdtPr>
                <w:tag w:val="goog_rdk_29"/>
                <w:id w:val="1175099429"/>
              </w:sdtPr>
              <w:sdtEndPr/>
              <w:sdtContent>
                <w:proofErr w:type="spellStart"/>
                <w:r w:rsidR="006844C6">
                  <w:rPr>
                    <w:rFonts w:ascii="Gungsuh" w:eastAsia="Gungsuh" w:hAnsi="Gungsuh" w:cs="Gungsuh"/>
                  </w:rPr>
                  <w:t>單價</w:t>
                </w:r>
                <w:proofErr w:type="spellEnd"/>
                <w:r w:rsidR="006844C6">
                  <w:rPr>
                    <w:rFonts w:ascii="Gungsuh" w:eastAsia="Gungsuh" w:hAnsi="Gungsuh" w:cs="Gungsuh"/>
                  </w:rPr>
                  <w:t>(元)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AE281F">
            <w:pPr>
              <w:widowControl/>
              <w:jc w:val="center"/>
            </w:pPr>
            <w:sdt>
              <w:sdtPr>
                <w:tag w:val="goog_rdk_30"/>
                <w:id w:val="-547293811"/>
              </w:sdtPr>
              <w:sdtEndPr/>
              <w:sdtContent>
                <w:proofErr w:type="spellStart"/>
                <w:r w:rsidR="006844C6">
                  <w:rPr>
                    <w:rFonts w:ascii="Gungsuh" w:eastAsia="Gungsuh" w:hAnsi="Gungsuh" w:cs="Gungsuh"/>
                  </w:rPr>
                  <w:t>數量</w:t>
                </w:r>
                <w:proofErr w:type="spellEnd"/>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AE281F">
            <w:pPr>
              <w:widowControl/>
              <w:jc w:val="center"/>
            </w:pPr>
            <w:sdt>
              <w:sdtPr>
                <w:tag w:val="goog_rdk_31"/>
                <w:id w:val="-1302543755"/>
              </w:sdtPr>
              <w:sdtEndPr/>
              <w:sdtContent>
                <w:proofErr w:type="spellStart"/>
                <w:r w:rsidR="006844C6">
                  <w:rPr>
                    <w:rFonts w:ascii="Gungsuh" w:eastAsia="Gungsuh" w:hAnsi="Gungsuh" w:cs="Gungsuh"/>
                  </w:rPr>
                  <w:t>單位</w:t>
                </w:r>
                <w:proofErr w:type="spellEnd"/>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AE281F">
            <w:pPr>
              <w:widowControl/>
              <w:jc w:val="center"/>
            </w:pPr>
            <w:sdt>
              <w:sdtPr>
                <w:tag w:val="goog_rdk_32"/>
                <w:id w:val="1241381200"/>
              </w:sdtPr>
              <w:sdtEndPr/>
              <w:sdtContent>
                <w:proofErr w:type="spellStart"/>
                <w:r w:rsidR="006844C6">
                  <w:rPr>
                    <w:rFonts w:ascii="Gungsuh" w:eastAsia="Gungsuh" w:hAnsi="Gungsuh" w:cs="Gungsuh"/>
                  </w:rPr>
                  <w:t>總價</w:t>
                </w:r>
                <w:proofErr w:type="spellEnd"/>
                <w:r w:rsidR="006844C6">
                  <w:rPr>
                    <w:rFonts w:ascii="Gungsuh" w:eastAsia="Gungsuh" w:hAnsi="Gungsuh" w:cs="Gungsuh"/>
                  </w:rPr>
                  <w:t>(元)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AE281F">
            <w:pPr>
              <w:widowControl/>
              <w:jc w:val="center"/>
            </w:pPr>
            <w:sdt>
              <w:sdtPr>
                <w:tag w:val="goog_rdk_33"/>
                <w:id w:val="1122619441"/>
              </w:sdtPr>
              <w:sdtEndPr/>
              <w:sdtContent>
                <w:proofErr w:type="spellStart"/>
                <w:r w:rsidR="006844C6">
                  <w:rPr>
                    <w:rFonts w:ascii="Gungsuh" w:eastAsia="Gungsuh" w:hAnsi="Gungsuh" w:cs="Gungsuh"/>
                  </w:rPr>
                  <w:t>備註</w:t>
                </w:r>
                <w:proofErr w:type="spellEnd"/>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AE281F">
            <w:pPr>
              <w:widowControl/>
              <w:spacing w:after="0"/>
              <w:jc w:val="center"/>
              <w:rPr>
                <w:b/>
              </w:rPr>
            </w:pPr>
            <w:sdt>
              <w:sdtPr>
                <w:tag w:val="goog_rdk_34"/>
                <w:id w:val="-769780289"/>
              </w:sdtPr>
              <w:sdtEndPr/>
              <w:sdtContent>
                <w:proofErr w:type="spellStart"/>
                <w:r w:rsidR="006844C6">
                  <w:rPr>
                    <w:rFonts w:ascii="Gungsuh" w:eastAsia="Gungsuh" w:hAnsi="Gungsuh" w:cs="Gungsuh"/>
                    <w:b/>
                  </w:rPr>
                  <w:t>鐘點費</w:t>
                </w:r>
                <w:proofErr w:type="spellEnd"/>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AE281F">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AE281F">
            <w:pPr>
              <w:widowControl/>
              <w:spacing w:after="0" w:line="260" w:lineRule="auto"/>
              <w:rPr>
                <w:lang w:eastAsia="zh-TW"/>
              </w:rPr>
            </w:pPr>
            <w:sdt>
              <w:sdtPr>
                <w:tag w:val="goog_rdk_36"/>
                <w:id w:val="-555010975"/>
              </w:sdtPr>
              <w:sdtEndPr/>
              <w:sdtContent>
                <w:proofErr w:type="gramStart"/>
                <w:r w:rsidR="006844C6">
                  <w:rPr>
                    <w:rFonts w:ascii="Gungsuh" w:eastAsia="Gungsuh" w:hAnsi="Gungsuh" w:cs="Gungsuh"/>
                    <w:lang w:eastAsia="zh-TW"/>
                  </w:rPr>
                  <w:t>內聘講師</w:t>
                </w:r>
                <w:proofErr w:type="gramEnd"/>
                <w:r w:rsidR="006844C6">
                  <w:rPr>
                    <w:rFonts w:ascii="Gungsuh" w:eastAsia="Gungsuh" w:hAnsi="Gungsuh" w:cs="Gungsuh"/>
                    <w:lang w:eastAsia="zh-TW"/>
                  </w:rPr>
                  <w:t>1,000元/節</w:t>
                </w:r>
              </w:sdtContent>
            </w:sdt>
          </w:p>
          <w:p w14:paraId="2E0A069A" w14:textId="77777777" w:rsidR="002A4209" w:rsidRDefault="00AE281F">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AE281F">
            <w:pPr>
              <w:widowControl/>
              <w:spacing w:after="0"/>
              <w:jc w:val="center"/>
              <w:rPr>
                <w:b/>
              </w:rPr>
            </w:pPr>
            <w:sdt>
              <w:sdtPr>
                <w:tag w:val="goog_rdk_38"/>
                <w:id w:val="-403658277"/>
              </w:sdtPr>
              <w:sdtEndPr/>
              <w:sdtContent>
                <w:proofErr w:type="spellStart"/>
                <w:r w:rsidR="006844C6">
                  <w:rPr>
                    <w:rFonts w:ascii="Gungsuh" w:eastAsia="Gungsuh" w:hAnsi="Gungsuh" w:cs="Gungsuh"/>
                    <w:b/>
                  </w:rPr>
                  <w:t>印刷費</w:t>
                </w:r>
                <w:proofErr w:type="spellEnd"/>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AE281F">
            <w:pPr>
              <w:widowControl/>
              <w:spacing w:after="0"/>
              <w:jc w:val="center"/>
            </w:pPr>
            <w:sdt>
              <w:sdtPr>
                <w:tag w:val="goog_rdk_39"/>
                <w:id w:val="-2084241353"/>
              </w:sdtPr>
              <w:sdtEndPr/>
              <w:sdtContent>
                <w:proofErr w:type="spellStart"/>
                <w:r w:rsidR="006844C6">
                  <w:rPr>
                    <w:rFonts w:ascii="Gungsuh" w:eastAsia="Gungsuh" w:hAnsi="Gungsuh" w:cs="Gungsuh"/>
                  </w:rPr>
                  <w:t>人份</w:t>
                </w:r>
                <w:proofErr w:type="spellEnd"/>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AE281F">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AE281F">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AE281F">
            <w:pPr>
              <w:widowControl/>
              <w:spacing w:after="0" w:line="260" w:lineRule="auto"/>
            </w:pPr>
            <w:sdt>
              <w:sdtPr>
                <w:tag w:val="goog_rdk_42"/>
                <w:id w:val="989463210"/>
              </w:sdtPr>
              <w:sdtEndPr/>
              <w:sdtContent>
                <w:r w:rsidR="006844C6">
                  <w:rPr>
                    <w:rFonts w:ascii="Gungsuh" w:eastAsia="Gungsuh" w:hAnsi="Gungsuh" w:cs="Gungsuh"/>
                  </w:rPr>
                  <w:t>3.</w:t>
                </w:r>
                <w:proofErr w:type="spellStart"/>
                <w:r w:rsidR="006844C6">
                  <w:rPr>
                    <w:rFonts w:ascii="Gungsuh" w:eastAsia="Gungsuh" w:hAnsi="Gungsuh" w:cs="Gungsuh"/>
                  </w:rPr>
                  <w:t>共計</w:t>
                </w:r>
                <w:proofErr w:type="spellEnd"/>
                <w:r w:rsidR="006844C6">
                  <w:rPr>
                    <w:rFonts w:ascii="Gungsuh" w:eastAsia="Gungsuh" w:hAnsi="Gungsuh" w:cs="Gungsuh"/>
                  </w:rPr>
                  <w:t>50人*3</w:t>
                </w:r>
                <w:proofErr w:type="spellStart"/>
                <w:r w:rsidR="006844C6">
                  <w:rPr>
                    <w:rFonts w:ascii="Gungsuh" w:eastAsia="Gungsuh" w:hAnsi="Gungsuh" w:cs="Gungsuh"/>
                  </w:rPr>
                  <w:t>場次</w:t>
                </w:r>
                <w:proofErr w:type="spellEnd"/>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AE281F">
            <w:pPr>
              <w:widowControl/>
              <w:spacing w:after="0"/>
              <w:jc w:val="center"/>
              <w:rPr>
                <w:b/>
              </w:rPr>
            </w:pPr>
            <w:sdt>
              <w:sdtPr>
                <w:tag w:val="goog_rdk_43"/>
                <w:id w:val="1983092919"/>
              </w:sdtPr>
              <w:sdtEndPr/>
              <w:sdtContent>
                <w:proofErr w:type="spellStart"/>
                <w:r w:rsidR="006844C6">
                  <w:rPr>
                    <w:rFonts w:ascii="Gungsuh" w:eastAsia="Gungsuh" w:hAnsi="Gungsuh" w:cs="Gungsuh"/>
                    <w:b/>
                  </w:rPr>
                  <w:t>教材教具費</w:t>
                </w:r>
                <w:proofErr w:type="spellEnd"/>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AE281F">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AE281F">
            <w:pPr>
              <w:widowControl/>
              <w:spacing w:after="0" w:line="260" w:lineRule="auto"/>
            </w:pPr>
            <w:sdt>
              <w:sdtPr>
                <w:tag w:val="goog_rdk_45"/>
                <w:id w:val="-1592804124"/>
              </w:sdtPr>
              <w:sdtEndPr/>
              <w:sdtContent>
                <w:proofErr w:type="spellStart"/>
                <w:r w:rsidR="006844C6">
                  <w:rPr>
                    <w:rFonts w:ascii="Gungsuh" w:eastAsia="Gungsuh" w:hAnsi="Gungsuh" w:cs="Gungsuh"/>
                  </w:rPr>
                  <w:t>研習實作所需教具</w:t>
                </w:r>
                <w:proofErr w:type="spellEnd"/>
                <w:r w:rsidR="006844C6">
                  <w:rPr>
                    <w:rFonts w:ascii="Gungsuh" w:eastAsia="Gungsuh" w:hAnsi="Gungsuh" w:cs="Gungsuh"/>
                  </w:rPr>
                  <w:t>。</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AE281F">
            <w:pPr>
              <w:widowControl/>
              <w:spacing w:after="0"/>
              <w:jc w:val="center"/>
              <w:rPr>
                <w:b/>
              </w:rPr>
            </w:pPr>
            <w:sdt>
              <w:sdtPr>
                <w:tag w:val="goog_rdk_46"/>
                <w:id w:val="-707790372"/>
              </w:sdtPr>
              <w:sdtEndPr/>
              <w:sdtContent>
                <w:proofErr w:type="spellStart"/>
                <w:r w:rsidR="006844C6">
                  <w:rPr>
                    <w:rFonts w:ascii="Gungsuh" w:eastAsia="Gungsuh" w:hAnsi="Gungsuh" w:cs="Gungsuh"/>
                    <w:b/>
                  </w:rPr>
                  <w:t>場地佈置費</w:t>
                </w:r>
                <w:proofErr w:type="spellEnd"/>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AE281F">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AE281F">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w:t>
                </w:r>
                <w:proofErr w:type="gramStart"/>
                <w:r w:rsidR="006844C6">
                  <w:rPr>
                    <w:rFonts w:ascii="Gungsuh" w:eastAsia="Gungsuh" w:hAnsi="Gungsuh" w:cs="Gungsuh"/>
                    <w:lang w:eastAsia="zh-TW"/>
                  </w:rPr>
                  <w:t>…</w:t>
                </w:r>
                <w:proofErr w:type="gramEnd"/>
                <w:r w:rsidR="006844C6">
                  <w:rPr>
                    <w:rFonts w:ascii="Gungsuh" w:eastAsia="Gungsuh" w:hAnsi="Gungsuh" w:cs="Gungsuh"/>
                    <w:lang w:eastAsia="zh-TW"/>
                  </w:rPr>
                  <w:t>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AE281F">
            <w:pPr>
              <w:widowControl/>
              <w:spacing w:after="0"/>
              <w:jc w:val="center"/>
              <w:rPr>
                <w:b/>
              </w:rPr>
            </w:pPr>
            <w:sdt>
              <w:sdtPr>
                <w:tag w:val="goog_rdk_49"/>
                <w:id w:val="-1079221143"/>
              </w:sdtPr>
              <w:sdtEndPr/>
              <w:sdtContent>
                <w:proofErr w:type="spellStart"/>
                <w:r w:rsidR="006844C6">
                  <w:rPr>
                    <w:rFonts w:ascii="Gungsuh" w:eastAsia="Gungsuh" w:hAnsi="Gungsuh" w:cs="Gungsuh"/>
                    <w:b/>
                  </w:rPr>
                  <w:t>雜支</w:t>
                </w:r>
                <w:proofErr w:type="spellEnd"/>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AE281F">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AE281F">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AE281F">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AE281F">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AE281F">
            <w:pPr>
              <w:widowControl/>
              <w:spacing w:after="0"/>
              <w:jc w:val="center"/>
              <w:rPr>
                <w:b/>
              </w:rPr>
            </w:pPr>
            <w:sdt>
              <w:sdtPr>
                <w:tag w:val="goog_rdk_54"/>
                <w:id w:val="1405497242"/>
              </w:sdtPr>
              <w:sdtEndPr/>
              <w:sdtContent>
                <w:proofErr w:type="spellStart"/>
                <w:r w:rsidR="006844C6">
                  <w:rPr>
                    <w:rFonts w:ascii="Gungsuh" w:eastAsia="Gungsuh" w:hAnsi="Gungsuh" w:cs="Gungsuh"/>
                    <w:b/>
                  </w:rPr>
                  <w:t>合計</w:t>
                </w:r>
                <w:proofErr w:type="spellEnd"/>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AE281F">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AE281F">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AE281F">
            <w:pPr>
              <w:widowControl/>
              <w:spacing w:after="0" w:line="240" w:lineRule="auto"/>
              <w:jc w:val="center"/>
            </w:pPr>
            <w:sdt>
              <w:sdtPr>
                <w:tag w:val="goog_rdk_57"/>
                <w:id w:val="-748073298"/>
              </w:sdtPr>
              <w:sdtEndPr/>
              <w:sdtContent>
                <w:proofErr w:type="spellStart"/>
                <w:r w:rsidR="006844C6">
                  <w:rPr>
                    <w:rFonts w:ascii="Gungsuh" w:eastAsia="Gungsuh" w:hAnsi="Gungsuh" w:cs="Gungsuh"/>
                  </w:rPr>
                  <w:t>項次</w:t>
                </w:r>
                <w:proofErr w:type="spellEnd"/>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AE281F">
            <w:pPr>
              <w:widowControl/>
              <w:spacing w:after="0" w:line="240" w:lineRule="auto"/>
              <w:jc w:val="center"/>
            </w:pPr>
            <w:sdt>
              <w:sdtPr>
                <w:tag w:val="goog_rdk_58"/>
                <w:id w:val="283863788"/>
              </w:sdtPr>
              <w:sdtEndPr/>
              <w:sdtContent>
                <w:proofErr w:type="spellStart"/>
                <w:r w:rsidR="006844C6">
                  <w:rPr>
                    <w:rFonts w:ascii="Gungsuh" w:eastAsia="Gungsuh" w:hAnsi="Gungsuh" w:cs="Gungsuh"/>
                  </w:rPr>
                  <w:t>項目</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AE281F">
            <w:pPr>
              <w:widowControl/>
              <w:spacing w:after="0" w:line="240" w:lineRule="auto"/>
              <w:jc w:val="center"/>
            </w:pPr>
            <w:sdt>
              <w:sdtPr>
                <w:tag w:val="goog_rdk_59"/>
                <w:id w:val="142065649"/>
              </w:sdtPr>
              <w:sdtEndPr/>
              <w:sdtContent>
                <w:proofErr w:type="spellStart"/>
                <w:r w:rsidR="006844C6">
                  <w:rPr>
                    <w:rFonts w:ascii="Gungsuh" w:eastAsia="Gungsuh" w:hAnsi="Gungsuh" w:cs="Gungsuh"/>
                  </w:rPr>
                  <w:t>單價</w:t>
                </w:r>
                <w:proofErr w:type="spellEnd"/>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AE281F">
            <w:pPr>
              <w:widowControl/>
              <w:spacing w:after="0" w:line="240" w:lineRule="auto"/>
              <w:jc w:val="center"/>
            </w:pPr>
            <w:sdt>
              <w:sdtPr>
                <w:tag w:val="goog_rdk_60"/>
                <w:id w:val="1452782609"/>
              </w:sdtPr>
              <w:sdtEndPr/>
              <w:sdtContent>
                <w:proofErr w:type="spellStart"/>
                <w:r w:rsidR="006844C6">
                  <w:rPr>
                    <w:rFonts w:ascii="Gungsuh" w:eastAsia="Gungsuh" w:hAnsi="Gungsuh" w:cs="Gungsuh"/>
                  </w:rPr>
                  <w:t>數量</w:t>
                </w:r>
                <w:proofErr w:type="spellEnd"/>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AE281F">
            <w:pPr>
              <w:widowControl/>
              <w:spacing w:after="0" w:line="240" w:lineRule="auto"/>
              <w:jc w:val="center"/>
            </w:pPr>
            <w:sdt>
              <w:sdtPr>
                <w:tag w:val="goog_rdk_61"/>
                <w:id w:val="993119022"/>
              </w:sdtPr>
              <w:sdtEndPr/>
              <w:sdtContent>
                <w:proofErr w:type="spellStart"/>
                <w:r w:rsidR="006844C6">
                  <w:rPr>
                    <w:rFonts w:ascii="Gungsuh" w:eastAsia="Gungsuh" w:hAnsi="Gungsuh" w:cs="Gungsuh"/>
                  </w:rPr>
                  <w:t>單位</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AE281F">
            <w:pPr>
              <w:widowControl/>
              <w:spacing w:after="0" w:line="240" w:lineRule="auto"/>
              <w:jc w:val="center"/>
            </w:pPr>
            <w:sdt>
              <w:sdtPr>
                <w:tag w:val="goog_rdk_62"/>
                <w:id w:val="-916096380"/>
              </w:sdtPr>
              <w:sdtEndPr/>
              <w:sdtContent>
                <w:proofErr w:type="spellStart"/>
                <w:r w:rsidR="006844C6">
                  <w:rPr>
                    <w:rFonts w:ascii="Gungsuh" w:eastAsia="Gungsuh" w:hAnsi="Gungsuh" w:cs="Gungsuh"/>
                  </w:rPr>
                  <w:t>小計</w:t>
                </w:r>
                <w:proofErr w:type="spellEnd"/>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AE281F">
            <w:pPr>
              <w:widowControl/>
              <w:spacing w:after="0" w:line="240" w:lineRule="auto"/>
              <w:jc w:val="center"/>
            </w:pPr>
            <w:sdt>
              <w:sdtPr>
                <w:tag w:val="goog_rdk_63"/>
                <w:id w:val="-1154978143"/>
              </w:sdtPr>
              <w:sdtEndPr/>
              <w:sdtContent>
                <w:proofErr w:type="spellStart"/>
                <w:r w:rsidR="006844C6">
                  <w:rPr>
                    <w:rFonts w:ascii="Gungsuh" w:eastAsia="Gungsuh" w:hAnsi="Gungsuh" w:cs="Gungsuh"/>
                  </w:rPr>
                  <w:t>便利貼</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AE281F">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AE281F">
            <w:pPr>
              <w:widowControl/>
              <w:spacing w:after="0" w:line="240" w:lineRule="auto"/>
              <w:jc w:val="center"/>
            </w:pPr>
            <w:sdt>
              <w:sdtPr>
                <w:tag w:val="goog_rdk_65"/>
                <w:id w:val="631092495"/>
              </w:sdtPr>
              <w:sdtEndPr/>
              <w:sdtContent>
                <w:proofErr w:type="spellStart"/>
                <w:r w:rsidR="006844C6">
                  <w:rPr>
                    <w:rFonts w:ascii="Gungsuh" w:eastAsia="Gungsuh" w:hAnsi="Gungsuh" w:cs="Gungsuh"/>
                  </w:rPr>
                  <w:t>合計</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AE281F">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AE281F">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AE281F">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A4209"/>
    <w:rsid w:val="006844C6"/>
    <w:rsid w:val="00764E15"/>
    <w:rsid w:val="00AE2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廖翊伶</cp:lastModifiedBy>
  <cp:revision>2</cp:revision>
  <dcterms:created xsi:type="dcterms:W3CDTF">2025-11-10T10:58:00Z</dcterms:created>
  <dcterms:modified xsi:type="dcterms:W3CDTF">2025-11-10T10:58:00Z</dcterms:modified>
</cp:coreProperties>
</file>